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FE5E2"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De las Comisiones Unidas de Salud y de Estudios Legislativos, el que contiene proyecto de decreto por el que el Honorable Congreso de la Unión declara el último día de febrero de cada año como "Día Nacional de Enfermedades Raras".</w:t>
      </w:r>
    </w:p>
    <w:p w14:paraId="45B30590"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Honorable Asamblea:</w:t>
      </w:r>
    </w:p>
    <w:p w14:paraId="7FE945D1"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A las Comisiones Unidas de Salud y de Estudios Legislativos, de la LXIII Legislatura de la Cámara de Senadores del Honorable Congreso de la Unión, les fue turnada para su estudio y dictamen </w:t>
      </w:r>
      <w:r w:rsidRPr="00C534D6">
        <w:rPr>
          <w:rFonts w:ascii="Verdana" w:eastAsia="Times New Roman" w:hAnsi="Verdana" w:cs="Times New Roman"/>
          <w:b/>
          <w:bCs/>
          <w:color w:val="000000"/>
          <w:sz w:val="24"/>
          <w:szCs w:val="24"/>
          <w:lang w:eastAsia="es-MX"/>
        </w:rPr>
        <w:t>Minuta con Proyecto de Decreto por el que se declara el último día de febrero de cada año como “Día Nacional de Enfermedades Raras”.</w:t>
      </w:r>
    </w:p>
    <w:p w14:paraId="33286155"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Una vez recibida por las Comisiones Dictaminadoras, sus integrantes entraron a su estudio con la responsabilidad de considerar lo más detalladamente posible su contenido y analizar los fundamentos esenciales en que se apoya, para proceder a emitir dictamen conforme a las facultades que les confieren los artículos 86, 89, 94 y demás relativos de la Ley Orgánica del Congreso General de los Estados Unidos Mexicanos; así como los artículos 113, numeral 2; 117, numeral 1; 135, fracción I; 136; 137, numeral 2; 182, 186, 188, 190, 191, 212 y demás relativos del Reglamento del Senado, que ha sido formulado al tenor de la siguiente:</w:t>
      </w:r>
    </w:p>
    <w:p w14:paraId="2F2ABDD7" w14:textId="77777777" w:rsidR="00C534D6" w:rsidRPr="00C534D6" w:rsidRDefault="00C534D6" w:rsidP="00C534D6">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METODOLOGÍA</w:t>
      </w:r>
    </w:p>
    <w:p w14:paraId="15C1B148"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I.</w:t>
      </w:r>
      <w:r w:rsidRPr="00C534D6">
        <w:rPr>
          <w:rFonts w:ascii="Verdana" w:eastAsia="Times New Roman" w:hAnsi="Verdana" w:cs="Times New Roman"/>
          <w:color w:val="000000"/>
          <w:sz w:val="24"/>
          <w:szCs w:val="24"/>
          <w:lang w:eastAsia="es-MX"/>
        </w:rPr>
        <w:t> En el capítulo de </w:t>
      </w:r>
      <w:r w:rsidRPr="00C534D6">
        <w:rPr>
          <w:rFonts w:ascii="Verdana" w:eastAsia="Times New Roman" w:hAnsi="Verdana" w:cs="Times New Roman"/>
          <w:b/>
          <w:bCs/>
          <w:color w:val="000000"/>
          <w:sz w:val="24"/>
          <w:szCs w:val="24"/>
          <w:lang w:eastAsia="es-MX"/>
        </w:rPr>
        <w:t>"ANTECEDENTES"</w:t>
      </w:r>
      <w:r w:rsidRPr="00C534D6">
        <w:rPr>
          <w:rFonts w:ascii="Verdana" w:eastAsia="Times New Roman" w:hAnsi="Verdana" w:cs="Times New Roman"/>
          <w:color w:val="000000"/>
          <w:sz w:val="24"/>
          <w:szCs w:val="24"/>
          <w:lang w:eastAsia="es-MX"/>
        </w:rPr>
        <w:t>, se da constancia del trámite de inicio del proceso legislativo, del recibo de turno para el Dictamen de la Iniciativa y de los trabajos previos de las Comisiones Dictaminadoras.</w:t>
      </w:r>
    </w:p>
    <w:p w14:paraId="42BAD845"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II.</w:t>
      </w:r>
      <w:r w:rsidRPr="00C534D6">
        <w:rPr>
          <w:rFonts w:ascii="Verdana" w:eastAsia="Times New Roman" w:hAnsi="Verdana" w:cs="Times New Roman"/>
          <w:color w:val="000000"/>
          <w:sz w:val="24"/>
          <w:szCs w:val="24"/>
          <w:lang w:eastAsia="es-MX"/>
        </w:rPr>
        <w:t> En el capítulo correspondiente a </w:t>
      </w:r>
      <w:r w:rsidRPr="00C534D6">
        <w:rPr>
          <w:rFonts w:ascii="Verdana" w:eastAsia="Times New Roman" w:hAnsi="Verdana" w:cs="Times New Roman"/>
          <w:b/>
          <w:bCs/>
          <w:color w:val="000000"/>
          <w:sz w:val="24"/>
          <w:szCs w:val="24"/>
          <w:lang w:eastAsia="es-MX"/>
        </w:rPr>
        <w:t>"CONTENIDO DE LA MINUTA "</w:t>
      </w:r>
      <w:r w:rsidRPr="00C534D6">
        <w:rPr>
          <w:rFonts w:ascii="Verdana" w:eastAsia="Times New Roman" w:hAnsi="Verdana" w:cs="Times New Roman"/>
          <w:color w:val="000000"/>
          <w:sz w:val="24"/>
          <w:szCs w:val="24"/>
          <w:lang w:eastAsia="es-MX"/>
        </w:rPr>
        <w:t>, se sintetiza el alcance de las proposiciones de mérito.</w:t>
      </w:r>
    </w:p>
    <w:p w14:paraId="1507A2FD"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III.</w:t>
      </w:r>
      <w:r w:rsidRPr="00C534D6">
        <w:rPr>
          <w:rFonts w:ascii="Verdana" w:eastAsia="Times New Roman" w:hAnsi="Verdana" w:cs="Times New Roman"/>
          <w:color w:val="000000"/>
          <w:sz w:val="24"/>
          <w:szCs w:val="24"/>
          <w:lang w:eastAsia="es-MX"/>
        </w:rPr>
        <w:t> En el capítulo de "</w:t>
      </w:r>
      <w:r w:rsidRPr="00C534D6">
        <w:rPr>
          <w:rFonts w:ascii="Verdana" w:eastAsia="Times New Roman" w:hAnsi="Verdana" w:cs="Times New Roman"/>
          <w:b/>
          <w:bCs/>
          <w:color w:val="000000"/>
          <w:sz w:val="24"/>
          <w:szCs w:val="24"/>
          <w:lang w:eastAsia="es-MX"/>
        </w:rPr>
        <w:t>CONSIDERACIONES"</w:t>
      </w:r>
      <w:r w:rsidRPr="00C534D6">
        <w:rPr>
          <w:rFonts w:ascii="Verdana" w:eastAsia="Times New Roman" w:hAnsi="Verdana" w:cs="Times New Roman"/>
          <w:color w:val="000000"/>
          <w:sz w:val="24"/>
          <w:szCs w:val="24"/>
          <w:lang w:eastAsia="es-MX"/>
        </w:rPr>
        <w:t>, las Comisiones expresan los argumentos de valoración de la Iniciativa y de los motivos que sustentan la resolución de estas Dictaminadoras.</w:t>
      </w:r>
    </w:p>
    <w:p w14:paraId="6104882B" w14:textId="77777777" w:rsidR="00C534D6" w:rsidRPr="00C534D6" w:rsidRDefault="00C534D6" w:rsidP="00C534D6">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I. ANTECEDENTES</w:t>
      </w:r>
    </w:p>
    <w:p w14:paraId="05E8C5AC"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1.- Con fecha 21 de Abril de 2016, la diputada Alejandra Noemí Reynoso Sánchez, integrante del Grupo Parlamentario del Partido Acción Nacional, presento ante el pleno de la Cámara de Diputados Iniciativa con Proyecto de Decreto por el que se declara el último día de febrero de cada año como “Día Nacional de Enfermedades Raras”.</w:t>
      </w:r>
    </w:p>
    <w:p w14:paraId="4DF4081D"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lastRenderedPageBreak/>
        <w:t>Con la misma fecha, en sesión plenaria de la Cámara de Diputados, la Presidencia de la Mesa Directiva dispuso que dicha Iniciativa fuera turnada a la Comisión de Salud, para su análisis y dictamen correspondiente.</w:t>
      </w:r>
    </w:p>
    <w:p w14:paraId="25E815F5"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2.- En sesión celebrada el viernes 28 de abril de 2017, la Cámara de diputados aprobó el dictamen a favor de la iniciativa en comento con 294 votos.</w:t>
      </w:r>
    </w:p>
    <w:p w14:paraId="539F0E2D"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3.- El 5 de junio de 2017, en sesión plenaria de la Cámara de Senadores la Presidencia de la Mesa Directiva dispuso que dicha Iniciativa fuera turnada a las Comisiones de Salud y de Estudios Legislativos, para su análisis y dictamen correspondiente.</w:t>
      </w:r>
    </w:p>
    <w:p w14:paraId="17EFBAB4" w14:textId="77777777" w:rsidR="00C534D6" w:rsidRPr="00C534D6" w:rsidRDefault="00C534D6" w:rsidP="00C534D6">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II. CONTENIDO DE LA MINUTA</w:t>
      </w:r>
    </w:p>
    <w:p w14:paraId="62DA4383"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Dicha iniciativa propone que se declare el último día de febrero de cada ano como “Día Nacional de Enfermedades Raras”.</w:t>
      </w:r>
    </w:p>
    <w:p w14:paraId="6A5CD44D" w14:textId="77777777" w:rsidR="00C534D6" w:rsidRPr="00C534D6" w:rsidRDefault="00C534D6" w:rsidP="00C534D6">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III. CONSIDERACIONES</w:t>
      </w:r>
    </w:p>
    <w:p w14:paraId="06497467"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A. </w:t>
      </w:r>
      <w:r w:rsidRPr="00C534D6">
        <w:rPr>
          <w:rFonts w:ascii="Verdana" w:eastAsia="Times New Roman" w:hAnsi="Verdana" w:cs="Times New Roman"/>
          <w:color w:val="000000"/>
          <w:sz w:val="24"/>
          <w:szCs w:val="24"/>
          <w:lang w:eastAsia="es-MX"/>
        </w:rPr>
        <w:t>Las Comisiones Unidas dictaminadoras de Salud y de Estudios Legislativos, hacen referencia al derecho a la protección de la salud que poseen todos los mexicanos acorde con el párrafo cuarto del artículo 4° de nuestro máximo ordenamiento legal, el cual a su vez faculta, a través de la fracción XVI del artículo 73, de la Constitución Política de los Estados Unidos Mexicanos, a emitir leyes sobre salubridad general en la República, por lo que el ámbito de competencia de esta Soberanía se encuentra previamente establecido y reconocido para tratar el tema de salud en México. </w:t>
      </w:r>
    </w:p>
    <w:p w14:paraId="4B035282"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La salud, es un componente importante del desarrollo socio-económico de cualquier nación; el mejoramiento de la misma tiene un valor humano, ético, político y económico intrínseco. Hoy, el papel del Estado como garante de la salud de la población es parte toral para el desarrollo del país. Es por ello la importancia del tema presente instrumento legislativo.</w:t>
      </w:r>
    </w:p>
    <w:p w14:paraId="59811CD1"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B. </w:t>
      </w:r>
      <w:r w:rsidRPr="00C534D6">
        <w:rPr>
          <w:rFonts w:ascii="Verdana" w:eastAsia="Times New Roman" w:hAnsi="Verdana" w:cs="Times New Roman"/>
          <w:color w:val="000000"/>
          <w:sz w:val="24"/>
          <w:szCs w:val="24"/>
          <w:lang w:eastAsia="es-MX"/>
        </w:rPr>
        <w:t>De acuerdo con la Organización Mundial de la Salud, se estima que existen alrededor de siete mil enfermedades raras, que afectan al siete por ciento de la población mundial, también son denominadas enfermedades huérfanas o de baja prevalencia. Una enfermedad se considera rara cuando existe menos de un caso por cada dos mil habitantes, presenta síntomas y orígenes variados y en ocasiones desconocidos y requiere tratamientos farmacológicos específicos.  </w:t>
      </w:r>
    </w:p>
    <w:p w14:paraId="493B64BA"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lastRenderedPageBreak/>
        <w:t>C. </w:t>
      </w:r>
      <w:r w:rsidRPr="00C534D6">
        <w:rPr>
          <w:rFonts w:ascii="Verdana" w:eastAsia="Times New Roman" w:hAnsi="Verdana" w:cs="Times New Roman"/>
          <w:color w:val="000000"/>
          <w:sz w:val="24"/>
          <w:szCs w:val="24"/>
          <w:lang w:eastAsia="es-MX"/>
        </w:rPr>
        <w:t>Estas enfermedades raras son definidas como padecimientos que afectan a menos de 200,000 pacientes; y los ultra-huérfanos, que atienden enfermedades con una prevalencia menor de 5 por cada 10, 000 habitantes. La Unión Europea las define como padecimientos con prevalencia menor a 5 por cada 10,000 habitantes. En México, se definen en la Ley General de Salud, homologando la definición con la Europea.  </w:t>
      </w:r>
    </w:p>
    <w:p w14:paraId="06941581"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D. </w:t>
      </w:r>
      <w:r w:rsidRPr="00C534D6">
        <w:rPr>
          <w:rFonts w:ascii="Verdana" w:eastAsia="Times New Roman" w:hAnsi="Verdana" w:cs="Times New Roman"/>
          <w:color w:val="000000"/>
          <w:sz w:val="24"/>
          <w:szCs w:val="24"/>
          <w:lang w:eastAsia="es-MX"/>
        </w:rPr>
        <w:t>Algunas de estas patologías son: </w:t>
      </w:r>
    </w:p>
    <w:p w14:paraId="7A09B8D9"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El </w:t>
      </w:r>
      <w:r w:rsidRPr="00C534D6">
        <w:rPr>
          <w:rFonts w:ascii="Verdana" w:eastAsia="Times New Roman" w:hAnsi="Verdana" w:cs="Times New Roman"/>
          <w:b/>
          <w:bCs/>
          <w:color w:val="000000"/>
          <w:sz w:val="24"/>
          <w:szCs w:val="24"/>
          <w:lang w:eastAsia="es-MX"/>
        </w:rPr>
        <w:t>síndrome de </w:t>
      </w:r>
      <w:r w:rsidRPr="00C534D6">
        <w:rPr>
          <w:rFonts w:ascii="Verdana" w:eastAsia="Times New Roman" w:hAnsi="Verdana" w:cs="Times New Roman"/>
          <w:b/>
          <w:bCs/>
          <w:i/>
          <w:iCs/>
          <w:color w:val="000000"/>
          <w:sz w:val="24"/>
          <w:szCs w:val="24"/>
          <w:lang w:eastAsia="es-MX"/>
        </w:rPr>
        <w:t>morning glory</w:t>
      </w:r>
      <w:r w:rsidRPr="00C534D6">
        <w:rPr>
          <w:rFonts w:ascii="Verdana" w:eastAsia="Times New Roman" w:hAnsi="Verdana" w:cs="Times New Roman"/>
          <w:i/>
          <w:iCs/>
          <w:color w:val="000000"/>
          <w:sz w:val="24"/>
          <w:szCs w:val="24"/>
          <w:lang w:eastAsia="es-MX"/>
        </w:rPr>
        <w:t> </w:t>
      </w:r>
      <w:r w:rsidRPr="00C534D6">
        <w:rPr>
          <w:rFonts w:ascii="Verdana" w:eastAsia="Times New Roman" w:hAnsi="Verdana" w:cs="Times New Roman"/>
          <w:color w:val="000000"/>
          <w:sz w:val="24"/>
          <w:szCs w:val="24"/>
          <w:lang w:eastAsia="es-MX"/>
        </w:rPr>
        <w:t>—nombre común de algunas especies de plantas con flores de la familia </w:t>
      </w:r>
      <w:r w:rsidRPr="00C534D6">
        <w:rPr>
          <w:rFonts w:ascii="Verdana" w:eastAsia="Times New Roman" w:hAnsi="Verdana" w:cs="Times New Roman"/>
          <w:i/>
          <w:iCs/>
          <w:color w:val="000000"/>
          <w:sz w:val="24"/>
          <w:szCs w:val="24"/>
          <w:lang w:eastAsia="es-MX"/>
        </w:rPr>
        <w:t>Convolvulaceae</w:t>
      </w:r>
      <w:r w:rsidRPr="00C534D6">
        <w:rPr>
          <w:rFonts w:ascii="Verdana" w:eastAsia="Times New Roman" w:hAnsi="Verdana" w:cs="Times New Roman"/>
          <w:color w:val="000000"/>
          <w:sz w:val="24"/>
          <w:szCs w:val="24"/>
          <w:lang w:eastAsia="es-MX"/>
        </w:rPr>
        <w:t>— es una anomalía congénita poco frecuente de la papila óptica, es decir, la región en donde el nervio óptico se conecta con el ojo.  </w:t>
      </w:r>
    </w:p>
    <w:p w14:paraId="62054581"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 </w:t>
      </w:r>
      <w:r w:rsidRPr="00C534D6">
        <w:rPr>
          <w:rFonts w:ascii="Verdana" w:eastAsia="Times New Roman" w:hAnsi="Verdana" w:cs="Times New Roman"/>
          <w:color w:val="000000"/>
          <w:sz w:val="24"/>
          <w:szCs w:val="24"/>
          <w:lang w:eastAsia="es-MX"/>
        </w:rPr>
        <w:t>El</w:t>
      </w:r>
      <w:r w:rsidRPr="00C534D6">
        <w:rPr>
          <w:rFonts w:ascii="Verdana" w:eastAsia="Times New Roman" w:hAnsi="Verdana" w:cs="Times New Roman"/>
          <w:b/>
          <w:bCs/>
          <w:color w:val="000000"/>
          <w:sz w:val="24"/>
          <w:szCs w:val="24"/>
          <w:lang w:eastAsia="es-MX"/>
        </w:rPr>
        <w:t> </w:t>
      </w:r>
      <w:r w:rsidRPr="00C534D6">
        <w:rPr>
          <w:rFonts w:ascii="Verdana" w:eastAsia="Times New Roman" w:hAnsi="Verdana" w:cs="Times New Roman"/>
          <w:b/>
          <w:bCs/>
          <w:i/>
          <w:iCs/>
          <w:color w:val="000000"/>
          <w:sz w:val="24"/>
          <w:szCs w:val="24"/>
          <w:lang w:eastAsia="es-MX"/>
        </w:rPr>
        <w:t>síndrome de Zlotogora-Ogur-</w:t>
      </w:r>
      <w:r w:rsidRPr="00C534D6">
        <w:rPr>
          <w:rFonts w:ascii="Verdana" w:eastAsia="Times New Roman" w:hAnsi="Verdana" w:cs="Times New Roman"/>
          <w:color w:val="000000"/>
          <w:sz w:val="24"/>
          <w:szCs w:val="24"/>
          <w:lang w:eastAsia="es-MX"/>
        </w:rPr>
        <w:t> Este es un fenómeno de displasia ectodérmica que se caracteriza por anomalías en el cabello (ralo o ausente), la piel (seca) y los dientes, así como dimorfismo facial con labio y paladar hendidos, sindáctila cutánea o, en algunos casos, discapacidad intelectual.  </w:t>
      </w:r>
    </w:p>
    <w:p w14:paraId="7F485C9F"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El </w:t>
      </w:r>
      <w:r w:rsidRPr="00C534D6">
        <w:rPr>
          <w:rFonts w:ascii="Verdana" w:eastAsia="Times New Roman" w:hAnsi="Verdana" w:cs="Times New Roman"/>
          <w:b/>
          <w:bCs/>
          <w:i/>
          <w:iCs/>
          <w:color w:val="000000"/>
          <w:sz w:val="24"/>
          <w:szCs w:val="24"/>
          <w:lang w:eastAsia="es-MX"/>
        </w:rPr>
        <w:t>síndrome del ojo de gato o cat-eye</w:t>
      </w:r>
      <w:r w:rsidRPr="00C534D6">
        <w:rPr>
          <w:rFonts w:ascii="Verdana" w:eastAsia="Times New Roman" w:hAnsi="Verdana" w:cs="Times New Roman"/>
          <w:color w:val="000000"/>
          <w:sz w:val="24"/>
          <w:szCs w:val="24"/>
          <w:lang w:eastAsia="es-MX"/>
        </w:rPr>
        <w:t> es una anormalidad cromosómica que aparece antes del nacimiento.</w:t>
      </w:r>
      <w:r w:rsidRPr="00C534D6">
        <w:rPr>
          <w:rFonts w:ascii="Verdana" w:eastAsia="Times New Roman" w:hAnsi="Verdana" w:cs="Times New Roman"/>
          <w:color w:val="000000"/>
          <w:sz w:val="24"/>
          <w:szCs w:val="24"/>
          <w:lang w:eastAsia="es-MX"/>
        </w:rPr>
        <w:br/>
      </w:r>
      <w:r w:rsidRPr="00C534D6">
        <w:rPr>
          <w:rFonts w:ascii="Verdana" w:eastAsia="Times New Roman" w:hAnsi="Verdana" w:cs="Times New Roman"/>
          <w:color w:val="000000"/>
          <w:sz w:val="24"/>
          <w:szCs w:val="24"/>
          <w:lang w:eastAsia="es-MX"/>
        </w:rPr>
        <w:br/>
        <w:t>El recién nacido presenta anomalías que incluyen inteligencia levemente deteriorada, trastornos cardíacos, trastornos renales, corta estatura.</w:t>
      </w:r>
    </w:p>
    <w:p w14:paraId="16163C25"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El</w:t>
      </w:r>
      <w:r w:rsidRPr="00C534D6">
        <w:rPr>
          <w:rFonts w:ascii="Verdana" w:eastAsia="Times New Roman" w:hAnsi="Verdana" w:cs="Times New Roman"/>
          <w:b/>
          <w:bCs/>
          <w:color w:val="000000"/>
          <w:sz w:val="24"/>
          <w:szCs w:val="24"/>
          <w:lang w:eastAsia="es-MX"/>
        </w:rPr>
        <w:t> </w:t>
      </w:r>
      <w:r w:rsidRPr="00C534D6">
        <w:rPr>
          <w:rFonts w:ascii="Verdana" w:eastAsia="Times New Roman" w:hAnsi="Verdana" w:cs="Times New Roman"/>
          <w:b/>
          <w:bCs/>
          <w:i/>
          <w:iCs/>
          <w:color w:val="000000"/>
          <w:sz w:val="24"/>
          <w:szCs w:val="24"/>
          <w:lang w:eastAsia="es-MX"/>
        </w:rPr>
        <w:t>síndrome de Cenani-Lenz-</w:t>
      </w:r>
      <w:r w:rsidRPr="00C534D6">
        <w:rPr>
          <w:rFonts w:ascii="Verdana" w:eastAsia="Times New Roman" w:hAnsi="Verdana" w:cs="Times New Roman"/>
          <w:color w:val="000000"/>
          <w:sz w:val="24"/>
          <w:szCs w:val="24"/>
          <w:lang w:eastAsia="es-MX"/>
        </w:rPr>
        <w:t> esta patología malformativa congénita presenta sindactilia compleja de manos y antebrazos, con manifestaciones similares en las extremidades inferiores. </w:t>
      </w:r>
    </w:p>
    <w:p w14:paraId="6E0E1EFF"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El </w:t>
      </w:r>
      <w:r w:rsidRPr="00C534D6">
        <w:rPr>
          <w:rFonts w:ascii="Verdana" w:eastAsia="Times New Roman" w:hAnsi="Verdana" w:cs="Times New Roman"/>
          <w:b/>
          <w:bCs/>
          <w:i/>
          <w:iCs/>
          <w:color w:val="000000"/>
          <w:sz w:val="24"/>
          <w:szCs w:val="24"/>
          <w:lang w:eastAsia="es-MX"/>
        </w:rPr>
        <w:t>síndrome de Pierre Robin con anomalía faciodigital</w:t>
      </w:r>
      <w:r w:rsidRPr="00C534D6">
        <w:rPr>
          <w:rFonts w:ascii="Verdana" w:eastAsia="Times New Roman" w:hAnsi="Verdana" w:cs="Times New Roman"/>
          <w:color w:val="000000"/>
          <w:sz w:val="24"/>
          <w:szCs w:val="24"/>
          <w:lang w:eastAsia="es-MX"/>
        </w:rPr>
        <w:t> -se caracteriza por la dismorfia facial (retrognatia, frente alta y abombada, paladar hendido y glosoptosis) y anomalías digitales (dedos afilados, uñas hiperconvexas, clinodactilia del quinto dedo, falanges distales cortas, pulgares similares al resto de dedos y tendencia a la luxación de las articulaciones).</w:t>
      </w:r>
    </w:p>
    <w:p w14:paraId="2EC80863"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La </w:t>
      </w:r>
      <w:r w:rsidRPr="00C534D6">
        <w:rPr>
          <w:rFonts w:ascii="Verdana" w:eastAsia="Times New Roman" w:hAnsi="Verdana" w:cs="Times New Roman"/>
          <w:b/>
          <w:bCs/>
          <w:i/>
          <w:iCs/>
          <w:color w:val="000000"/>
          <w:sz w:val="24"/>
          <w:szCs w:val="24"/>
          <w:lang w:eastAsia="es-MX"/>
        </w:rPr>
        <w:t>coccidioidomicosis</w:t>
      </w:r>
      <w:r w:rsidRPr="00C534D6">
        <w:rPr>
          <w:rFonts w:ascii="Verdana" w:eastAsia="Times New Roman" w:hAnsi="Verdana" w:cs="Times New Roman"/>
          <w:color w:val="000000"/>
          <w:sz w:val="24"/>
          <w:szCs w:val="24"/>
          <w:lang w:eastAsia="es-MX"/>
        </w:rPr>
        <w:t> -es una infección fúngica causada por Coccidioides immitis y C. posadasii y que afecta normalmente a los habitantes del sudoeste de los Estados Unidos, América Central y Sudamérica.</w:t>
      </w:r>
    </w:p>
    <w:p w14:paraId="4AF6793C"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i/>
          <w:iCs/>
          <w:color w:val="000000"/>
          <w:sz w:val="24"/>
          <w:szCs w:val="24"/>
          <w:lang w:eastAsia="es-MX"/>
        </w:rPr>
        <w:t>Hipertricosis, o síndrome del hombre lobo-</w:t>
      </w:r>
      <w:r w:rsidRPr="00C534D6">
        <w:rPr>
          <w:rFonts w:ascii="Verdana" w:eastAsia="Times New Roman" w:hAnsi="Verdana" w:cs="Times New Roman"/>
          <w:color w:val="000000"/>
          <w:sz w:val="24"/>
          <w:szCs w:val="24"/>
          <w:lang w:eastAsia="es-MX"/>
        </w:rPr>
        <w:t> Es una </w:t>
      </w:r>
      <w:hyperlink r:id="rId5" w:tgtFrame="_blank" w:history="1">
        <w:r w:rsidRPr="00C534D6">
          <w:rPr>
            <w:rFonts w:ascii="Verdana" w:eastAsia="Times New Roman" w:hAnsi="Verdana" w:cs="Times New Roman"/>
            <w:color w:val="000000"/>
            <w:sz w:val="24"/>
            <w:szCs w:val="24"/>
            <w:u w:val="single"/>
            <w:lang w:eastAsia="es-MX"/>
          </w:rPr>
          <w:t>enfermedad</w:t>
        </w:r>
      </w:hyperlink>
      <w:r w:rsidRPr="00C534D6">
        <w:rPr>
          <w:rFonts w:ascii="Verdana" w:eastAsia="Times New Roman" w:hAnsi="Verdana" w:cs="Times New Roman"/>
          <w:color w:val="000000"/>
          <w:sz w:val="24"/>
          <w:szCs w:val="24"/>
          <w:lang w:eastAsia="es-MX"/>
        </w:rPr>
        <w:t> muy poco frecuente, que destaca por el exceso de vello en partes del cuerpo donde normalmente existe muy poco pelo.</w:t>
      </w:r>
    </w:p>
    <w:p w14:paraId="6C95C045"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i/>
          <w:iCs/>
          <w:color w:val="000000"/>
          <w:sz w:val="24"/>
          <w:szCs w:val="24"/>
          <w:lang w:eastAsia="es-MX"/>
        </w:rPr>
        <w:t>Osteopetrosis con acidosis tubular renal -</w:t>
      </w:r>
      <w:r w:rsidRPr="00C534D6">
        <w:rPr>
          <w:rFonts w:ascii="Verdana" w:eastAsia="Times New Roman" w:hAnsi="Verdana" w:cs="Times New Roman"/>
          <w:color w:val="000000"/>
          <w:sz w:val="24"/>
          <w:szCs w:val="24"/>
          <w:lang w:eastAsia="es-MX"/>
        </w:rPr>
        <w:t xml:space="preserve">Esta enfermedad poco común se caracteriza por osteopetrosis, acidosis tubular renal —incapacidad del riñón para retener el bicarbonato y para acidificar </w:t>
      </w:r>
      <w:r w:rsidRPr="00C534D6">
        <w:rPr>
          <w:rFonts w:ascii="Verdana" w:eastAsia="Times New Roman" w:hAnsi="Verdana" w:cs="Times New Roman"/>
          <w:color w:val="000000"/>
          <w:sz w:val="24"/>
          <w:szCs w:val="24"/>
          <w:lang w:eastAsia="es-MX"/>
        </w:rPr>
        <w:lastRenderedPageBreak/>
        <w:t>adecuadamente la orina— y trastornos neurológicos relacionados con calcificaciones cerebrales.</w:t>
      </w:r>
    </w:p>
    <w:p w14:paraId="47FE103A"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El </w:t>
      </w:r>
      <w:r w:rsidRPr="00C534D6">
        <w:rPr>
          <w:rFonts w:ascii="Verdana" w:eastAsia="Times New Roman" w:hAnsi="Verdana" w:cs="Times New Roman"/>
          <w:b/>
          <w:bCs/>
          <w:i/>
          <w:iCs/>
          <w:color w:val="000000"/>
          <w:sz w:val="24"/>
          <w:szCs w:val="24"/>
          <w:lang w:eastAsia="es-MX"/>
        </w:rPr>
        <w:t>Síndrome post-poliomielítico</w:t>
      </w:r>
      <w:r w:rsidRPr="00C534D6">
        <w:rPr>
          <w:rFonts w:ascii="Verdana" w:eastAsia="Times New Roman" w:hAnsi="Verdana" w:cs="Times New Roman"/>
          <w:color w:val="000000"/>
          <w:sz w:val="24"/>
          <w:szCs w:val="24"/>
          <w:lang w:eastAsia="es-MX"/>
        </w:rPr>
        <w:t>-Es un trastorno neurológico caracterizado por el desarrollo de nuevos síntomas neuromusculares como debilidad muscular progresiva o propensión anómala a la fatiga muscular que se da entre los supervivientes de la forma paralítica aguda de la poliomielitis entre 15 y 40 años después de la desaparición de la </w:t>
      </w:r>
      <w:hyperlink r:id="rId6" w:tgtFrame="_blank" w:history="1">
        <w:r w:rsidRPr="00C534D6">
          <w:rPr>
            <w:rFonts w:ascii="Verdana" w:eastAsia="Times New Roman" w:hAnsi="Verdana" w:cs="Times New Roman"/>
            <w:color w:val="000000"/>
            <w:sz w:val="24"/>
            <w:szCs w:val="24"/>
            <w:u w:val="single"/>
            <w:lang w:eastAsia="es-MX"/>
          </w:rPr>
          <w:t>enfermedad</w:t>
        </w:r>
      </w:hyperlink>
      <w:r w:rsidRPr="00C534D6">
        <w:rPr>
          <w:rFonts w:ascii="Verdana" w:eastAsia="Times New Roman" w:hAnsi="Verdana" w:cs="Times New Roman"/>
          <w:color w:val="000000"/>
          <w:sz w:val="24"/>
          <w:szCs w:val="24"/>
          <w:lang w:eastAsia="es-MX"/>
        </w:rPr>
        <w:t>.</w:t>
      </w:r>
    </w:p>
    <w:p w14:paraId="78C14FF7" w14:textId="77777777" w:rsidR="00C534D6" w:rsidRPr="00C534D6" w:rsidRDefault="00C534D6" w:rsidP="00C534D6">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i/>
          <w:iCs/>
          <w:color w:val="000000"/>
          <w:sz w:val="24"/>
          <w:szCs w:val="24"/>
          <w:lang w:eastAsia="es-MX"/>
        </w:rPr>
        <w:t>El</w:t>
      </w:r>
      <w:r w:rsidRPr="00C534D6">
        <w:rPr>
          <w:rFonts w:ascii="Verdana" w:eastAsia="Times New Roman" w:hAnsi="Verdana" w:cs="Times New Roman"/>
          <w:b/>
          <w:bCs/>
          <w:i/>
          <w:iCs/>
          <w:color w:val="000000"/>
          <w:sz w:val="24"/>
          <w:szCs w:val="24"/>
          <w:lang w:eastAsia="es-MX"/>
        </w:rPr>
        <w:t> Síndrome de Sanfilippo -</w:t>
      </w:r>
      <w:r w:rsidRPr="00C534D6">
        <w:rPr>
          <w:rFonts w:ascii="Verdana" w:eastAsia="Times New Roman" w:hAnsi="Verdana" w:cs="Times New Roman"/>
          <w:color w:val="000000"/>
          <w:sz w:val="24"/>
          <w:szCs w:val="24"/>
          <w:lang w:eastAsia="es-MX"/>
        </w:rPr>
        <w:t>es un trastorno del metabolismo por el cual el cuerpo no puede descomponer apropiadamente cadenas largas de moléculas de azúcar. Se trata de una patología hereditaria que se transmite de padres a hijos. </w:t>
      </w:r>
    </w:p>
    <w:p w14:paraId="2B25C133"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E. </w:t>
      </w:r>
      <w:r w:rsidRPr="00C534D6">
        <w:rPr>
          <w:rFonts w:ascii="Verdana" w:eastAsia="Times New Roman" w:hAnsi="Verdana" w:cs="Times New Roman"/>
          <w:color w:val="000000"/>
          <w:sz w:val="24"/>
          <w:szCs w:val="24"/>
          <w:lang w:eastAsia="es-MX"/>
        </w:rPr>
        <w:t>De acuerdo con la Federación Mexicana de Enfermedades Raras (FEMEXER), existen 8 millones de pacientes afectados por alguna enfermedad rara, el 80% de ellos por causas genéticas.  </w:t>
      </w:r>
    </w:p>
    <w:p w14:paraId="62718EC7"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En total, existen más de 7 mil </w:t>
      </w:r>
      <w:hyperlink r:id="rId7" w:tgtFrame="_blank" w:history="1">
        <w:r w:rsidRPr="00C534D6">
          <w:rPr>
            <w:rFonts w:ascii="Verdana" w:eastAsia="Times New Roman" w:hAnsi="Verdana" w:cs="Times New Roman"/>
            <w:color w:val="000000"/>
            <w:sz w:val="24"/>
            <w:szCs w:val="24"/>
            <w:u w:val="single"/>
            <w:lang w:eastAsia="es-MX"/>
          </w:rPr>
          <w:t>enfermedades</w:t>
        </w:r>
      </w:hyperlink>
      <w:r w:rsidRPr="00C534D6">
        <w:rPr>
          <w:rFonts w:ascii="Verdana" w:eastAsia="Times New Roman" w:hAnsi="Verdana" w:cs="Times New Roman"/>
          <w:color w:val="000000"/>
          <w:sz w:val="24"/>
          <w:szCs w:val="24"/>
          <w:lang w:eastAsia="es-MX"/>
        </w:rPr>
        <w:t> raras diferentes pero sólo 10% de estas cuenta con respaldo científico y apenas poco más de 400 tienen un tratamiento específico. Dado que la incidencia es muy reducida, estas enfermedades plantean un reto enorme para el sistema se salud y para la sociedad en general, debido a que no existe suficiente información epidemiológica y son contados los especialistas capaces de detectarlas, lo cual ocasiona que muchos pacientes lleguen a perder años de consulta en consulta sin encontrar un diagnóstico y tratamiento adecuado para su padecimiento.</w:t>
      </w:r>
    </w:p>
    <w:p w14:paraId="397F4C8C"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F. </w:t>
      </w:r>
      <w:r w:rsidRPr="00C534D6">
        <w:rPr>
          <w:rFonts w:ascii="Verdana" w:eastAsia="Times New Roman" w:hAnsi="Verdana" w:cs="Times New Roman"/>
          <w:color w:val="000000"/>
          <w:sz w:val="24"/>
          <w:szCs w:val="24"/>
          <w:lang w:eastAsia="es-MX"/>
        </w:rPr>
        <w:t>Coincidimos que las “enfermedades raras” representan un reto en la salud de creciente atención, que no puede ser ignorado por las autoridades e instituciones competentes, es por lo que  que el establecer el último día del mes de febrero como “Día Nacional de las Enfermedades Raras”, contribuirá a fomentar la conciencia en la población sobre la necesidad de avanzar en el combate a este tipo de enfermedades. </w:t>
      </w:r>
    </w:p>
    <w:p w14:paraId="63A8720C"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color w:val="000000"/>
          <w:sz w:val="24"/>
          <w:szCs w:val="24"/>
          <w:lang w:eastAsia="es-MX"/>
        </w:rPr>
        <w:t>Por lo antes expresado, las Comisiones Unidas de Salud y de Estudios Legislativos, con las atribuciones que les otorgan los artículos 86 y 94 de la Ley Orgánica del Congreso General de los Estados Unidos Mexicanos; y 188 Y 212 del Reglamento del Senado, someten a consideración de esta H. Soberanía el siguiente:</w:t>
      </w:r>
    </w:p>
    <w:p w14:paraId="502C125F"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Proyecto de Decreto por el que se declara el último día de febrero de cada año como el "Día Nacional de Enfermedades Raras.</w:t>
      </w:r>
    </w:p>
    <w:p w14:paraId="45C9A273"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lastRenderedPageBreak/>
        <w:t>Artículo Único. </w:t>
      </w:r>
      <w:r w:rsidRPr="00C534D6">
        <w:rPr>
          <w:rFonts w:ascii="Verdana" w:eastAsia="Times New Roman" w:hAnsi="Verdana" w:cs="Times New Roman"/>
          <w:color w:val="000000"/>
          <w:sz w:val="24"/>
          <w:szCs w:val="24"/>
          <w:lang w:eastAsia="es-MX"/>
        </w:rPr>
        <w:t>El Honorable Congreso de la Unión declara el último día de febrero de cada año como </w:t>
      </w:r>
      <w:r w:rsidRPr="00C534D6">
        <w:rPr>
          <w:rFonts w:ascii="Verdana" w:eastAsia="Times New Roman" w:hAnsi="Verdana" w:cs="Times New Roman"/>
          <w:b/>
          <w:bCs/>
          <w:color w:val="000000"/>
          <w:sz w:val="24"/>
          <w:szCs w:val="24"/>
          <w:lang w:eastAsia="es-MX"/>
        </w:rPr>
        <w:t>"DÍA NACIONAL DE ENFERMEDADES RARAS".</w:t>
      </w:r>
    </w:p>
    <w:p w14:paraId="6369EABF" w14:textId="77777777" w:rsidR="00C534D6" w:rsidRPr="00C534D6" w:rsidRDefault="00C534D6" w:rsidP="00C534D6">
      <w:pPr>
        <w:spacing w:before="100" w:beforeAutospacing="1" w:after="100" w:afterAutospacing="1" w:line="240" w:lineRule="auto"/>
        <w:jc w:val="center"/>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TRANSITORIOS</w:t>
      </w:r>
    </w:p>
    <w:p w14:paraId="715F7A79" w14:textId="77777777" w:rsidR="00C534D6" w:rsidRPr="00C534D6" w:rsidRDefault="00C534D6" w:rsidP="00C534D6">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C534D6">
        <w:rPr>
          <w:rFonts w:ascii="Verdana" w:eastAsia="Times New Roman" w:hAnsi="Verdana" w:cs="Times New Roman"/>
          <w:b/>
          <w:bCs/>
          <w:color w:val="000000"/>
          <w:sz w:val="24"/>
          <w:szCs w:val="24"/>
          <w:lang w:eastAsia="es-MX"/>
        </w:rPr>
        <w:t>Artículo Único. </w:t>
      </w:r>
      <w:r w:rsidRPr="00C534D6">
        <w:rPr>
          <w:rFonts w:ascii="Verdana" w:eastAsia="Times New Roman" w:hAnsi="Verdana" w:cs="Times New Roman"/>
          <w:color w:val="000000"/>
          <w:sz w:val="24"/>
          <w:szCs w:val="24"/>
          <w:lang w:eastAsia="es-MX"/>
        </w:rPr>
        <w:t>El presente Decreto entrará en vigor al día siguiente de su publicación en el Diario Oficial de la Federación.</w:t>
      </w:r>
    </w:p>
    <w:p w14:paraId="2C785C7E" w14:textId="77777777" w:rsidR="00094E7D" w:rsidRDefault="00094E7D">
      <w:bookmarkStart w:id="0" w:name="_GoBack"/>
      <w:bookmarkEnd w:id="0"/>
    </w:p>
    <w:sectPr w:rsidR="00094E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7933"/>
    <w:multiLevelType w:val="multilevel"/>
    <w:tmpl w:val="E5FE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C5"/>
    <w:rsid w:val="00094E7D"/>
    <w:rsid w:val="0011103B"/>
    <w:rsid w:val="008011C5"/>
    <w:rsid w:val="00C534D6"/>
    <w:rsid w:val="00CC42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9D464-3FA4-4598-8437-CDDA4F83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34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534D6"/>
    <w:rPr>
      <w:b/>
      <w:bCs/>
    </w:rPr>
  </w:style>
  <w:style w:type="character" w:styleId="nfasis">
    <w:name w:val="Emphasis"/>
    <w:basedOn w:val="Fuentedeprrafopredeter"/>
    <w:uiPriority w:val="20"/>
    <w:qFormat/>
    <w:rsid w:val="00C534D6"/>
    <w:rPr>
      <w:i/>
      <w:iCs/>
    </w:rPr>
  </w:style>
  <w:style w:type="character" w:styleId="Hipervnculo">
    <w:name w:val="Hyperlink"/>
    <w:basedOn w:val="Fuentedeprrafopredeter"/>
    <w:uiPriority w:val="99"/>
    <w:semiHidden/>
    <w:unhideWhenUsed/>
    <w:rsid w:val="00C53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0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creview.itesm.mx/falta-de-vitamina-d-eleva-riesgo-de-enfermedades-cardiac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review.itesm.mx/doctor-google-amplia-su-catalogo-de-enfermedades/" TargetMode="External"/><Relationship Id="rId5" Type="http://schemas.openxmlformats.org/officeDocument/2006/relationships/hyperlink" Target="http://tecreview.itesm.mx/los-romanos-de-la-antigua-pompeya-no-necesitaban-dentist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1467</Words>
  <Characters>8070</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 Sierra</dc:creator>
  <cp:keywords/>
  <dc:description/>
  <cp:lastModifiedBy>Gera Sierra</cp:lastModifiedBy>
  <cp:revision>3</cp:revision>
  <dcterms:created xsi:type="dcterms:W3CDTF">2018-03-01T20:17:00Z</dcterms:created>
  <dcterms:modified xsi:type="dcterms:W3CDTF">2018-03-01T20:17:00Z</dcterms:modified>
</cp:coreProperties>
</file>